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6B" w:rsidRDefault="0020116B" w:rsidP="00515DD5">
      <w:pPr>
        <w:spacing w:after="0" w:line="240" w:lineRule="auto"/>
      </w:pPr>
    </w:p>
    <w:p w:rsidR="00490B04" w:rsidRPr="00CA45A4" w:rsidRDefault="009B5630" w:rsidP="00181A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45A4">
        <w:rPr>
          <w:rFonts w:ascii="Times New Roman" w:hAnsi="Times New Roman" w:cs="Times New Roman"/>
          <w:b/>
          <w:i/>
          <w:iCs/>
          <w:color w:val="232323"/>
          <w:spacing w:val="-1"/>
          <w:sz w:val="24"/>
          <w:szCs w:val="24"/>
        </w:rPr>
        <w:t>Информация о результатах проверки</w:t>
      </w:r>
      <w:r w:rsidRPr="00CA45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81AEC" w:rsidRPr="003563EF" w:rsidRDefault="003563EF" w:rsidP="00181AE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Pr="003563EF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Муниципальном казенном учреждении «Дирекция коммунального хозяйства» </w:t>
      </w:r>
      <w:proofErr w:type="spellStart"/>
      <w:r w:rsidRPr="003563EF">
        <w:rPr>
          <w:rFonts w:ascii="Times New Roman" w:hAnsi="Times New Roman" w:cs="Times New Roman"/>
          <w:b/>
          <w:i/>
          <w:sz w:val="24"/>
          <w:szCs w:val="24"/>
        </w:rPr>
        <w:t>Лукояновского</w:t>
      </w:r>
      <w:proofErr w:type="spellEnd"/>
      <w:r w:rsidRPr="003563EF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округа Нижегородской области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0"/>
        <w:gridCol w:w="6608"/>
      </w:tblGrid>
      <w:tr w:rsidR="009B5630" w:rsidRPr="001A00EE" w:rsidTr="00080610">
        <w:trPr>
          <w:trHeight w:val="350"/>
        </w:trPr>
        <w:tc>
          <w:tcPr>
            <w:tcW w:w="10028" w:type="dxa"/>
            <w:gridSpan w:val="2"/>
          </w:tcPr>
          <w:p w:rsidR="009B5630" w:rsidRDefault="009B5630" w:rsidP="00E22B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61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Информация о проведенном контрольном мероприятии, выявленных нарушениях, вынесенном предписании, принятых по нему мерах</w:t>
            </w:r>
          </w:p>
          <w:p w:rsidR="00080610" w:rsidRPr="001A00EE" w:rsidRDefault="00080610" w:rsidP="00E22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630" w:rsidRPr="001A00EE" w:rsidTr="00080610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08" w:type="dxa"/>
          </w:tcPr>
          <w:p w:rsidR="00266DB8" w:rsidRPr="00907F3F" w:rsidRDefault="003563EF" w:rsidP="00266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proofErr w:type="gramEnd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учреждении </w:t>
            </w:r>
          </w:p>
          <w:p w:rsidR="00080610" w:rsidRPr="00907F3F" w:rsidRDefault="003563EF" w:rsidP="00266D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«Дирекция коммунального хозяйства» 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08" w:type="dxa"/>
          </w:tcPr>
          <w:p w:rsidR="009B5630" w:rsidRPr="00907F3F" w:rsidRDefault="007A52C5" w:rsidP="00E20D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  <w:r w:rsidR="00E20D99" w:rsidRPr="00907F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66DB8" w:rsidRPr="00907F3F">
              <w:rPr>
                <w:sz w:val="20"/>
                <w:szCs w:val="20"/>
              </w:rPr>
              <w:t xml:space="preserve"> </w:t>
            </w:r>
            <w:r w:rsidR="00E20D99" w:rsidRPr="00907F3F">
              <w:rPr>
                <w:rFonts w:ascii="Times New Roman" w:hAnsi="Times New Roman" w:cs="Times New Roman"/>
                <w:sz w:val="20"/>
                <w:szCs w:val="20"/>
              </w:rPr>
              <w:t>в связи с изменением типа муниципального казенного учреждения «Дирекция коммунального хозяйства» на муниципальное бюджетное учреждение «Дирекция коммунального хозяйства».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1A00EE" w:rsidRDefault="009B5630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08" w:type="dxa"/>
          </w:tcPr>
          <w:p w:rsidR="009B5630" w:rsidRPr="00907F3F" w:rsidRDefault="00211AEB" w:rsidP="00211A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Внеплановая, </w:t>
            </w:r>
            <w:r w:rsidR="003563EF" w:rsidRPr="00907F3F">
              <w:rPr>
                <w:rFonts w:ascii="Times New Roman" w:hAnsi="Times New Roman" w:cs="Times New Roman"/>
                <w:sz w:val="20"/>
                <w:szCs w:val="20"/>
              </w:rPr>
              <w:t>распоряжени</w:t>
            </w: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563EF"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="003563EF" w:rsidRPr="00907F3F">
              <w:rPr>
                <w:rFonts w:ascii="Times New Roman" w:hAnsi="Times New Roman" w:cs="Times New Roman"/>
                <w:sz w:val="20"/>
                <w:szCs w:val="20"/>
              </w:rPr>
              <w:t>Лукояновского</w:t>
            </w:r>
            <w:proofErr w:type="spellEnd"/>
            <w:r w:rsidR="003563EF" w:rsidRPr="00907F3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</w:t>
            </w:r>
            <w:r w:rsidR="00E20D99" w:rsidRPr="00907F3F">
              <w:rPr>
                <w:rFonts w:ascii="Times New Roman" w:hAnsi="Times New Roman" w:cs="Times New Roman"/>
                <w:sz w:val="20"/>
                <w:szCs w:val="20"/>
              </w:rPr>
              <w:t>от 06.11.2025 №312-р</w:t>
            </w:r>
            <w:proofErr w:type="gramEnd"/>
          </w:p>
        </w:tc>
      </w:tr>
      <w:tr w:rsidR="00E22B1A" w:rsidRPr="001A00EE" w:rsidTr="00080610">
        <w:tc>
          <w:tcPr>
            <w:tcW w:w="3420" w:type="dxa"/>
          </w:tcPr>
          <w:p w:rsidR="00E22B1A" w:rsidRPr="001A00EE" w:rsidRDefault="00E22B1A" w:rsidP="00E46D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08" w:type="dxa"/>
          </w:tcPr>
          <w:p w:rsidR="00E22B1A" w:rsidRPr="00907F3F" w:rsidRDefault="00E20D99" w:rsidP="00E20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10.11.2025 - 12.12.2025</w:t>
            </w:r>
          </w:p>
        </w:tc>
      </w:tr>
      <w:tr w:rsidR="008168B0" w:rsidRPr="001A00EE" w:rsidTr="00080610">
        <w:tc>
          <w:tcPr>
            <w:tcW w:w="3420" w:type="dxa"/>
          </w:tcPr>
          <w:p w:rsidR="008168B0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Проверенный период</w:t>
            </w:r>
          </w:p>
          <w:p w:rsidR="008168B0" w:rsidRPr="001A00EE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8168B0" w:rsidRPr="00907F3F" w:rsidRDefault="00E20D99" w:rsidP="007A52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01.01.2025 - 31.10.2025.</w:t>
            </w:r>
          </w:p>
        </w:tc>
      </w:tr>
      <w:tr w:rsidR="008168B0" w:rsidRPr="00490B04" w:rsidTr="00080610">
        <w:tc>
          <w:tcPr>
            <w:tcW w:w="3420" w:type="dxa"/>
          </w:tcPr>
          <w:p w:rsidR="008168B0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Выявленные нарушения</w:t>
            </w:r>
          </w:p>
          <w:p w:rsidR="008168B0" w:rsidRPr="001A00EE" w:rsidRDefault="008168B0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Доплата за совмещение производилась при отсутствии дополнительно выполненной работы. 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7F3F">
              <w:rPr>
                <w:rFonts w:ascii="Times New Roman" w:hAnsi="Times New Roman"/>
                <w:sz w:val="20"/>
                <w:szCs w:val="20"/>
              </w:rPr>
              <w:t xml:space="preserve">В нарушение приказа Минфина от 30.03.2015 № 52н </w:t>
            </w:r>
            <w:r w:rsidRPr="00907F3F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"Об </w:t>
            </w:r>
            <w:r w:rsidRPr="00907F3F">
              <w:rPr>
                <w:rStyle w:val="ac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утверждении</w:t>
            </w:r>
            <w:r w:rsidRPr="00907F3F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 форм первичных учетных документов и регистров бухгалтерского учета, применяемых орган</w:t>
            </w:r>
            <w:bookmarkStart w:id="0" w:name="_GoBack"/>
            <w:bookmarkEnd w:id="0"/>
            <w:r w:rsidRPr="00907F3F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</w:t>
            </w:r>
            <w:r w:rsidRPr="00907F3F">
              <w:rPr>
                <w:rStyle w:val="ac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Методических</w:t>
            </w:r>
            <w:r w:rsidRPr="00907F3F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 </w:t>
            </w:r>
            <w:r w:rsidRPr="00907F3F">
              <w:rPr>
                <w:rStyle w:val="ac"/>
                <w:rFonts w:ascii="Times New Roman" w:hAnsi="Times New Roman"/>
                <w:i w:val="0"/>
                <w:iCs w:val="0"/>
                <w:color w:val="22272F"/>
                <w:sz w:val="20"/>
                <w:szCs w:val="20"/>
                <w:shd w:val="clear" w:color="auto" w:fill="FFFFFF"/>
              </w:rPr>
              <w:t>указаний</w:t>
            </w:r>
            <w:r w:rsidRPr="00907F3F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 xml:space="preserve"> по их применению"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 xml:space="preserve"> функции, возложенные на кладовщика, осуществляются не в полном объеме, складской учет ведется с нарушениями.</w:t>
            </w:r>
            <w:proofErr w:type="gramEnd"/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Не приведены в соответствие с трудовым законодательством дополнительные соглашения к трудовым договорам.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Учет времени, фактически отработанного каждым работником, ведется с нарушением ст. 91 ТК РФ. 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Выявлено неверное отнесение должностей к профессиональным квалификационным группам общеотраслевых профессий рабочих (в штатном расписании и положении об оплате труда) с приказом Министерства здравоохранения и социального развития РФ от 29.05.2008 №248 н «Об утверждении профессиональных квалификационных групп общеотраслевых профессий рабочих» (с изменениями и дополнениями).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оплата за совмещение производилась при отсутствии дополнительно выполненной работы. </w:t>
            </w:r>
          </w:p>
          <w:p w:rsidR="00E20D99" w:rsidRPr="00907F3F" w:rsidRDefault="00211AEB" w:rsidP="00E20D99">
            <w:pPr>
              <w:pStyle w:val="a5"/>
              <w:numPr>
                <w:ilvl w:val="1"/>
                <w:numId w:val="10"/>
              </w:numPr>
              <w:tabs>
                <w:tab w:val="left" w:pos="0"/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Нарушения п</w:t>
            </w:r>
            <w:r w:rsidR="00E20D99" w:rsidRPr="00907F3F">
              <w:rPr>
                <w:rFonts w:ascii="Times New Roman" w:hAnsi="Times New Roman"/>
                <w:sz w:val="20"/>
                <w:szCs w:val="20"/>
              </w:rPr>
              <w:t>ункт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>а</w:t>
            </w:r>
            <w:r w:rsidR="00E20D99" w:rsidRPr="00907F3F">
              <w:rPr>
                <w:rFonts w:ascii="Times New Roman" w:hAnsi="Times New Roman"/>
                <w:sz w:val="20"/>
                <w:szCs w:val="20"/>
              </w:rPr>
              <w:t xml:space="preserve"> 2.1.3 Положения об оплате труда </w:t>
            </w:r>
            <w:r w:rsidR="00907F3F" w:rsidRPr="00907F3F">
              <w:rPr>
                <w:rFonts w:ascii="Times New Roman" w:hAnsi="Times New Roman"/>
                <w:sz w:val="20"/>
                <w:szCs w:val="20"/>
              </w:rPr>
              <w:t xml:space="preserve">в части начисления </w:t>
            </w:r>
            <w:r w:rsidR="00E20D99" w:rsidRPr="00907F3F">
              <w:rPr>
                <w:rFonts w:ascii="Times New Roman" w:hAnsi="Times New Roman"/>
                <w:sz w:val="20"/>
                <w:szCs w:val="20"/>
              </w:rPr>
              <w:t>надбав</w:t>
            </w:r>
            <w:r w:rsidR="00907F3F" w:rsidRPr="00907F3F">
              <w:rPr>
                <w:rFonts w:ascii="Times New Roman" w:hAnsi="Times New Roman"/>
                <w:sz w:val="20"/>
                <w:szCs w:val="20"/>
              </w:rPr>
              <w:t>ок за сложность и напряженность</w:t>
            </w:r>
            <w:r w:rsidR="00E20D99" w:rsidRPr="00907F3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0D99" w:rsidRPr="00907F3F" w:rsidRDefault="00907F3F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Нарушения оформления с</w:t>
            </w:r>
            <w:r w:rsidR="00E20D99" w:rsidRPr="00907F3F">
              <w:rPr>
                <w:rFonts w:ascii="Times New Roman" w:hAnsi="Times New Roman"/>
                <w:sz w:val="20"/>
                <w:szCs w:val="20"/>
              </w:rPr>
              <w:t xml:space="preserve">огласия работника на привлечение к работе в выходные и праздничные дни (113 ТК РФ). 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93"/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Style w:val="ab"/>
                <w:rFonts w:ascii="Times New Roman" w:hAnsi="Times New Roman"/>
                <w:b w:val="0"/>
                <w:sz w:val="20"/>
                <w:szCs w:val="20"/>
              </w:rPr>
              <w:t>В нарушение требований Федерального закона от 22.05.2003 №54-ФЗ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 xml:space="preserve"> (ред. от 24.06.2025) «О применении контрольно-кассовой техники при осуществлении расчётов в Российской Федерации» </w:t>
            </w:r>
            <w:r w:rsidRPr="00907F3F">
              <w:rPr>
                <w:rStyle w:val="ab"/>
                <w:rFonts w:ascii="Times New Roman" w:hAnsi="Times New Roman"/>
                <w:b w:val="0"/>
                <w:sz w:val="20"/>
                <w:szCs w:val="20"/>
              </w:rPr>
              <w:t>в МКУ «ДКХ» отсутствует кассовый аппарат.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В нарушение п.71 Инструкции № 157н, утвержденной  </w:t>
            </w: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приказом Минфина России от 01.12.2010 установлены расхождения 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данных </w:t>
            </w:r>
            <w:proofErr w:type="spellStart"/>
            <w:r w:rsidRPr="00907F3F">
              <w:rPr>
                <w:rFonts w:ascii="Times New Roman" w:hAnsi="Times New Roman"/>
                <w:sz w:val="20"/>
                <w:szCs w:val="20"/>
              </w:rPr>
              <w:t>Росреестра</w:t>
            </w:r>
            <w:proofErr w:type="spellEnd"/>
            <w:r w:rsidRPr="00907F3F">
              <w:rPr>
                <w:rFonts w:ascii="Times New Roman" w:hAnsi="Times New Roman"/>
                <w:sz w:val="20"/>
                <w:szCs w:val="20"/>
              </w:rPr>
              <w:t xml:space="preserve"> с данными бухгалтерского учета, учреждению</w:t>
            </w:r>
            <w:r w:rsidRPr="00907F3F">
              <w:rPr>
                <w:rFonts w:ascii="Times New Roman" w:hAnsi="Times New Roman"/>
                <w:iCs/>
                <w:sz w:val="20"/>
                <w:szCs w:val="20"/>
              </w:rPr>
              <w:t xml:space="preserve"> следует поставить на учет 1 земельный участок и привести в соответствие учет по 7 земельным участкам.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907F3F" w:rsidRPr="00907F3F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арушения порядка заполнения путевых листов (отсутствует заполнение оборотной стороны путевого листа – об </w:t>
            </w:r>
            <w:r w:rsidRPr="00907F3F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информации о поездках, совершённых в течение рабочей смены</w:t>
            </w:r>
            <w:r w:rsidRPr="00907F3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по порядку)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 xml:space="preserve">, установленных приказом </w:t>
            </w: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Министерства транспорта РФ от 28 сентября 2022 № 390 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 xml:space="preserve">(в ред. от 5.05.2023) </w:t>
            </w: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"Об утверждении состава сведений, указанных в части 3 статьи 6 Федерального закона от 8 ноября 2007 г. № 259-ФЗ "Устав автомобильного транспорта и городского наземного</w:t>
            </w:r>
            <w:proofErr w:type="gramEnd"/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электрического транспорта", и порядка оформления или формирования </w:t>
            </w: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путевого листа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>" и Федерального закона от 06.12.2011 №402-ФЗ (ред. от 26.12.2024) "О бухгалтерском учете".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В нарушение п.2.5 Учетной политики основным средствам присваивается </w:t>
            </w:r>
            <w:r w:rsidR="00907F3F" w:rsidRPr="00907F3F">
              <w:rPr>
                <w:rFonts w:ascii="Times New Roman" w:hAnsi="Times New Roman"/>
                <w:sz w:val="20"/>
                <w:szCs w:val="20"/>
              </w:rPr>
              <w:t xml:space="preserve">неверный 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>уникальный инвентарный номе</w:t>
            </w:r>
            <w:r w:rsidR="00907F3F" w:rsidRPr="00907F3F">
              <w:rPr>
                <w:rFonts w:ascii="Times New Roman" w:hAnsi="Times New Roman"/>
                <w:sz w:val="20"/>
                <w:szCs w:val="20"/>
              </w:rPr>
              <w:t>р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В нарушение п.6.12.2 Учетной политики выдача в эксплуатацию на нужды учреждения канцелярских принадлежностей, запасных частей и хозяйственных материалов не оформляется ведомостью выдачи материальных ценностей </w:t>
            </w:r>
            <w:r w:rsidR="00907F3F" w:rsidRPr="00907F3F">
              <w:rPr>
                <w:rFonts w:ascii="Times New Roman" w:hAnsi="Times New Roman"/>
                <w:sz w:val="20"/>
                <w:szCs w:val="20"/>
              </w:rPr>
              <w:t>на нужды учреждения (ф.0504210)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</w:pPr>
            <w:r w:rsidRPr="00907F3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 xml:space="preserve">В нарушение приказа Минфина России от 30.03.2015 № 52н, в актах о списании материальных запасов в части заполнения направления расходования (причины списания) не указаны объемы работ (например, </w:t>
            </w:r>
            <w:proofErr w:type="spellStart"/>
            <w:r w:rsidRPr="00907F3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>кв</w:t>
            </w:r>
            <w:proofErr w:type="gramStart"/>
            <w:r w:rsidRPr="00907F3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>.м</w:t>
            </w:r>
            <w:proofErr w:type="gramEnd"/>
            <w:r w:rsidRPr="00907F3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>етры</w:t>
            </w:r>
            <w:proofErr w:type="spellEnd"/>
            <w:r w:rsidRPr="00907F3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 xml:space="preserve"> защебененных дорог), конкретные направления работ (например, установки </w:t>
            </w:r>
            <w:proofErr w:type="spellStart"/>
            <w:r w:rsidRPr="00907F3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>зап.частей</w:t>
            </w:r>
            <w:proofErr w:type="spellEnd"/>
            <w:r w:rsidRPr="00907F3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 xml:space="preserve"> на какие транспортные средства), что является прямым подтверждением расходования материальных запасов и указывает на конкретную цель использования или причину списания.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438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</w:pPr>
            <w:r w:rsidRPr="00907F3F">
              <w:rPr>
                <w:rFonts w:ascii="Times New Roman" w:hAnsi="Times New Roman"/>
                <w:bCs/>
                <w:color w:val="22272F"/>
                <w:sz w:val="20"/>
                <w:szCs w:val="20"/>
                <w:shd w:val="clear" w:color="auto" w:fill="FFFFFF"/>
              </w:rPr>
              <w:t>Списание материальных запасов производится в нарушение ч.6 Приказа Минфина России от 7.12.2018г. №256н "Об утверждении федерального стандарта бухгалтерского учета для организаций государственного сектора "Запасы".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В нарушение п.6.11 Учетной политики в МКУ «ДКХ» счет 09</w:t>
            </w: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"Запасные части к транспортным средствам, выданные взамен изношенных" </w:t>
            </w:r>
            <w:r w:rsidRPr="00907F3F">
              <w:rPr>
                <w:rFonts w:ascii="Times New Roman" w:hAnsi="Times New Roman"/>
                <w:sz w:val="20"/>
                <w:szCs w:val="20"/>
              </w:rPr>
              <w:t>не ведется.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Нарушен пункт 4 Статьи 29 № 402-ФЗ «О бухгалтерском учете» от 06.12.2011 не произведена передача документов бухгалтерского учета при смене руководителя организации.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нарушение пункта 11 Приказа Минфина РФ от 1</w:t>
            </w:r>
            <w:r w:rsidR="00907F3F"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.12.</w:t>
            </w: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2010</w:t>
            </w:r>
            <w:r w:rsidR="00907F3F"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№</w:t>
            </w: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по истечении каждого отчетного периода (месяца, квартала, года) первичные (сводные) учетные документы, сформированные на бумажном носителе, относящиеся к</w:t>
            </w:r>
            <w:proofErr w:type="gramEnd"/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соответствующим журналам, иным регистрам бухгалтерского учета, хронологически подбираются, но не  </w:t>
            </w:r>
            <w:proofErr w:type="spellStart"/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сброшюровываются</w:t>
            </w:r>
            <w:proofErr w:type="spellEnd"/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Сметные расчеты отсутствуют на фактически оказанные и оплаченные услуги по корчеванию кустарников, на очистку дорог от снега, на вырубку кустарников, копку траншей и другие услуги подрядчиков.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Заключенные договора на оказание услуг по </w:t>
            </w:r>
            <w:proofErr w:type="spellStart"/>
            <w:r w:rsidRPr="00907F3F">
              <w:rPr>
                <w:rFonts w:ascii="Times New Roman" w:hAnsi="Times New Roman"/>
                <w:sz w:val="20"/>
                <w:szCs w:val="20"/>
              </w:rPr>
              <w:t>окашиванию</w:t>
            </w:r>
            <w:proofErr w:type="spellEnd"/>
            <w:r w:rsidRPr="00907F3F">
              <w:rPr>
                <w:rFonts w:ascii="Times New Roman" w:hAnsi="Times New Roman"/>
                <w:sz w:val="20"/>
                <w:szCs w:val="20"/>
              </w:rPr>
              <w:t xml:space="preserve"> и замене светильников уличного освещения не соответствуют предоставленным сметам.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 договорах отсутствует спецификация, которая должна содержать конкретный перечень работ и материалов, необходимых для их выполнения, и обоснования цены договора.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Неэффективно израсходовано средств на сумму – 38 340,16 руб. (оплата штрафов, пеней)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Комиссия по осуществлению закупок в МКУ «ДКХ» не утверждена, в нарушение статей 39 и 107 Закона №44-ФЗ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Имеется факт дробления закупок в нарушение принципа эффективности использования бюджетных денег, установленный в ст. 34 БК РФ, что является нарушением положений ст. 15 Федерального закона № 135-ФЗ.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Положение о контрактном управляющем, должностная инструкция специалиста по закупкам, не соответствуют требованиям части 4 ст.38 Федерального закона №44-ФЗ. </w:t>
            </w:r>
          </w:p>
          <w:p w:rsidR="00E20D99" w:rsidRPr="00907F3F" w:rsidRDefault="00E20D99" w:rsidP="00E20D99">
            <w:pPr>
              <w:pStyle w:val="Textbody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/>
              <w:ind w:left="0" w:firstLine="0"/>
              <w:jc w:val="both"/>
              <w:textAlignment w:val="auto"/>
              <w:rPr>
                <w:rFonts w:cs="Times New Roman"/>
                <w:sz w:val="20"/>
                <w:szCs w:val="20"/>
              </w:rPr>
            </w:pPr>
            <w:r w:rsidRPr="00907F3F">
              <w:rPr>
                <w:rFonts w:cs="Times New Roman"/>
                <w:sz w:val="20"/>
                <w:szCs w:val="20"/>
              </w:rPr>
              <w:t xml:space="preserve">В нарушение </w:t>
            </w:r>
            <w:hyperlink r:id="rId8" w:anchor="Par345" w:tooltip="Статья 19. Нормирование в сфере закупок" w:history="1">
              <w:r w:rsidRPr="00907F3F">
                <w:rPr>
                  <w:rStyle w:val="aa"/>
                  <w:sz w:val="20"/>
                  <w:szCs w:val="20"/>
                </w:rPr>
                <w:t>статьи 19</w:t>
              </w:r>
            </w:hyperlink>
            <w:r w:rsidRPr="00907F3F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Федерального закона №44-ФЗ</w:t>
            </w:r>
            <w:r w:rsidRPr="00907F3F">
              <w:rPr>
                <w:rFonts w:cs="Times New Roman"/>
                <w:sz w:val="20"/>
                <w:szCs w:val="20"/>
              </w:rPr>
              <w:t xml:space="preserve"> о правилах нормирования в сфере закупок, </w:t>
            </w:r>
            <w:r w:rsidRPr="00907F3F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акты о нормировании в сфере закупок на 2025 год МКУ «ДКХ» для проверки не предоставлены, </w:t>
            </w:r>
            <w:r w:rsidRPr="00907F3F">
              <w:rPr>
                <w:rFonts w:eastAsia="Times New Roman" w:cs="Times New Roman"/>
                <w:bCs/>
                <w:kern w:val="0"/>
                <w:sz w:val="20"/>
                <w:szCs w:val="20"/>
              </w:rPr>
              <w:t>публикации в единой информационной системе отсутствуют.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7F3F">
              <w:rPr>
                <w:rFonts w:ascii="Times New Roman" w:hAnsi="Times New Roman"/>
                <w:sz w:val="20"/>
                <w:szCs w:val="20"/>
              </w:rPr>
              <w:t xml:space="preserve">В нарушение пункта 3.7.1 Методических рекомендаций, утвержденных Приказом Минэкономразвития РФ от 02.10.2013 года № 567 Заказчик не проводил анализ рынка поставляемых товаров, не направлял запросы о </w:t>
            </w:r>
            <w:r w:rsidRPr="00907F3F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предоставлении ценовой информации не менее пяти поставщикам (подрядчикам, исполнителям), обладающим опытом поставок соответствующих товаров, работ, услуг, не руководствовался информацией, которая имеется в свободном доступе (в частности, опубликована в печати, размещена на сайтах в сети "Интернет").</w:t>
            </w:r>
            <w:proofErr w:type="gramEnd"/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pacing w:val="10"/>
                <w:sz w:val="20"/>
                <w:szCs w:val="20"/>
                <w:shd w:val="clear" w:color="auto" w:fill="FFFFFF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 xml:space="preserve">В нарушение п.16 ст.3 Федерального закона №44-ФЗ </w:t>
            </w:r>
            <w:r w:rsidRPr="00907F3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заказчиком неверно рассчитан СГОЗ и ошибочно оформлен реестр закупок за 2025 год.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Закупки, соответствующие требованиям п.4 ч.1 ст.93 Федерального закона №44- ФЗ превышают требуемые нормы.</w:t>
            </w:r>
          </w:p>
          <w:p w:rsidR="00E20D99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>В нарушение требований ч.4 ст. 34 Федерального закона №44-ФЗ заказчиком заключались договора без включения обязательного условия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контрактами.</w:t>
            </w:r>
          </w:p>
          <w:p w:rsidR="004E1C68" w:rsidRPr="00907F3F" w:rsidRDefault="00E20D99" w:rsidP="00E20D99">
            <w:pPr>
              <w:pStyle w:val="a5"/>
              <w:numPr>
                <w:ilvl w:val="1"/>
                <w:numId w:val="10"/>
              </w:numPr>
              <w:tabs>
                <w:tab w:val="left" w:pos="234"/>
                <w:tab w:val="left" w:pos="3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F3F">
              <w:rPr>
                <w:rFonts w:ascii="Times New Roman" w:hAnsi="Times New Roman"/>
                <w:sz w:val="20"/>
                <w:szCs w:val="20"/>
              </w:rPr>
              <w:t xml:space="preserve"> Приказ МКУ «ДКХ» о создании приемочной комиссии от 09.09.2025 №297 не отвечает требованиям </w:t>
            </w:r>
            <w:r w:rsidRPr="00907F3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статьи 94 Закона №44-ФЗ.</w:t>
            </w:r>
          </w:p>
        </w:tc>
      </w:tr>
      <w:tr w:rsidR="00D53732" w:rsidRPr="001A00EE" w:rsidTr="00080610">
        <w:trPr>
          <w:trHeight w:val="20"/>
        </w:trPr>
        <w:tc>
          <w:tcPr>
            <w:tcW w:w="3420" w:type="dxa"/>
          </w:tcPr>
          <w:p w:rsidR="00D53732" w:rsidRPr="001A00EE" w:rsidRDefault="00D53732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Вынесено предписание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/представление</w:t>
            </w: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 xml:space="preserve"> /срок исполнения</w:t>
            </w:r>
          </w:p>
        </w:tc>
        <w:tc>
          <w:tcPr>
            <w:tcW w:w="6608" w:type="dxa"/>
          </w:tcPr>
          <w:p w:rsidR="00D53732" w:rsidRPr="00907F3F" w:rsidRDefault="00E20D99" w:rsidP="00211A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07F3F">
              <w:rPr>
                <w:rFonts w:ascii="Times New Roman" w:hAnsi="Times New Roman" w:cs="Times New Roman"/>
              </w:rPr>
              <w:t>Решение принято в 2026 году</w:t>
            </w:r>
            <w:r w:rsidR="00211AEB" w:rsidRPr="00907F3F">
              <w:rPr>
                <w:rFonts w:ascii="Times New Roman" w:hAnsi="Times New Roman" w:cs="Times New Roman"/>
              </w:rPr>
              <w:t>, вынесено представление от 03.02.2026 №1</w:t>
            </w:r>
          </w:p>
        </w:tc>
      </w:tr>
      <w:tr w:rsidR="00D53732" w:rsidRPr="009930DC" w:rsidTr="00080610">
        <w:trPr>
          <w:trHeight w:val="667"/>
        </w:trPr>
        <w:tc>
          <w:tcPr>
            <w:tcW w:w="3420" w:type="dxa"/>
          </w:tcPr>
          <w:p w:rsidR="00D53732" w:rsidRPr="001A00EE" w:rsidRDefault="00D53732" w:rsidP="008168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00EE">
              <w:rPr>
                <w:rFonts w:ascii="Times New Roman" w:hAnsi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608" w:type="dxa"/>
          </w:tcPr>
          <w:p w:rsidR="00D53732" w:rsidRPr="00907F3F" w:rsidRDefault="00211AEB" w:rsidP="00211AEB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F3F">
              <w:rPr>
                <w:rFonts w:ascii="Times New Roman" w:hAnsi="Times New Roman" w:cs="Times New Roman"/>
                <w:sz w:val="20"/>
                <w:szCs w:val="20"/>
              </w:rPr>
              <w:t>Нарушения частично устранены, информация направлена в органы прокуратуры и в УФАС</w:t>
            </w:r>
          </w:p>
        </w:tc>
      </w:tr>
    </w:tbl>
    <w:p w:rsidR="009B5630" w:rsidRDefault="009B5630" w:rsidP="009B5630">
      <w:pPr>
        <w:spacing w:after="0" w:line="240" w:lineRule="auto"/>
        <w:rPr>
          <w:rFonts w:ascii="Times New Roman" w:hAnsi="Times New Roman"/>
        </w:rPr>
      </w:pPr>
    </w:p>
    <w:p w:rsidR="009B5630" w:rsidRPr="009B2ADE" w:rsidRDefault="009B5630" w:rsidP="009B5630">
      <w:pPr>
        <w:rPr>
          <w:i/>
          <w:sz w:val="24"/>
          <w:szCs w:val="24"/>
        </w:rPr>
      </w:pPr>
    </w:p>
    <w:sectPr w:rsidR="009B5630" w:rsidRPr="009B2ADE" w:rsidSect="00ED52C2">
      <w:headerReference w:type="default" r:id="rId9"/>
      <w:pgSz w:w="11906" w:h="16838" w:code="9"/>
      <w:pgMar w:top="964" w:right="849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EB" w:rsidRDefault="00211AEB" w:rsidP="008475DB">
      <w:pPr>
        <w:spacing w:after="0" w:line="240" w:lineRule="auto"/>
      </w:pPr>
      <w:r>
        <w:separator/>
      </w:r>
    </w:p>
  </w:endnote>
  <w:endnote w:type="continuationSeparator" w:id="0">
    <w:p w:rsidR="00211AEB" w:rsidRDefault="00211AEB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SegoeUI-Italic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EB" w:rsidRDefault="00211AEB" w:rsidP="008475DB">
      <w:pPr>
        <w:spacing w:after="0" w:line="240" w:lineRule="auto"/>
      </w:pPr>
      <w:r>
        <w:separator/>
      </w:r>
    </w:p>
  </w:footnote>
  <w:footnote w:type="continuationSeparator" w:id="0">
    <w:p w:rsidR="00211AEB" w:rsidRDefault="00211AEB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EB" w:rsidRDefault="00211A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7F3F">
      <w:rPr>
        <w:noProof/>
      </w:rPr>
      <w:t>3</w:t>
    </w:r>
    <w:r>
      <w:fldChar w:fldCharType="end"/>
    </w:r>
  </w:p>
  <w:p w:rsidR="00211AEB" w:rsidRDefault="00211A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A20B5"/>
    <w:multiLevelType w:val="hybridMultilevel"/>
    <w:tmpl w:val="0D26C3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2F58B36C">
      <w:start w:val="1"/>
      <w:numFmt w:val="decimal"/>
      <w:lvlText w:val="%2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57BCF"/>
    <w:multiLevelType w:val="hybridMultilevel"/>
    <w:tmpl w:val="372AB440"/>
    <w:lvl w:ilvl="0" w:tplc="492C7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D5"/>
    <w:rsid w:val="00017536"/>
    <w:rsid w:val="00046126"/>
    <w:rsid w:val="00080610"/>
    <w:rsid w:val="00091851"/>
    <w:rsid w:val="000A464B"/>
    <w:rsid w:val="00132867"/>
    <w:rsid w:val="001376A7"/>
    <w:rsid w:val="00181AEC"/>
    <w:rsid w:val="00190082"/>
    <w:rsid w:val="001A00EE"/>
    <w:rsid w:val="0020116B"/>
    <w:rsid w:val="00210D0C"/>
    <w:rsid w:val="00211AEB"/>
    <w:rsid w:val="00244749"/>
    <w:rsid w:val="00250ED7"/>
    <w:rsid w:val="00266DB8"/>
    <w:rsid w:val="002D6487"/>
    <w:rsid w:val="003317D9"/>
    <w:rsid w:val="003563EF"/>
    <w:rsid w:val="003909ED"/>
    <w:rsid w:val="00391EC4"/>
    <w:rsid w:val="003D14E6"/>
    <w:rsid w:val="00456DC0"/>
    <w:rsid w:val="00490B04"/>
    <w:rsid w:val="00495E10"/>
    <w:rsid w:val="004C054A"/>
    <w:rsid w:val="004E1C68"/>
    <w:rsid w:val="0050597A"/>
    <w:rsid w:val="00515DD5"/>
    <w:rsid w:val="00571B82"/>
    <w:rsid w:val="00584B73"/>
    <w:rsid w:val="00683C1B"/>
    <w:rsid w:val="006E10FC"/>
    <w:rsid w:val="00797344"/>
    <w:rsid w:val="007A52C5"/>
    <w:rsid w:val="008168B0"/>
    <w:rsid w:val="008475DB"/>
    <w:rsid w:val="008524BA"/>
    <w:rsid w:val="00907F3F"/>
    <w:rsid w:val="009178A9"/>
    <w:rsid w:val="009B2ADE"/>
    <w:rsid w:val="009B5630"/>
    <w:rsid w:val="009C6D0F"/>
    <w:rsid w:val="00A439A4"/>
    <w:rsid w:val="00AB3BB4"/>
    <w:rsid w:val="00AE1E64"/>
    <w:rsid w:val="00B14A01"/>
    <w:rsid w:val="00B203C5"/>
    <w:rsid w:val="00BB5390"/>
    <w:rsid w:val="00BC16BB"/>
    <w:rsid w:val="00BE697C"/>
    <w:rsid w:val="00C44882"/>
    <w:rsid w:val="00C857AA"/>
    <w:rsid w:val="00C871A4"/>
    <w:rsid w:val="00CA45A4"/>
    <w:rsid w:val="00CF378A"/>
    <w:rsid w:val="00D53732"/>
    <w:rsid w:val="00D7125C"/>
    <w:rsid w:val="00DB1F06"/>
    <w:rsid w:val="00E20D99"/>
    <w:rsid w:val="00E22B1A"/>
    <w:rsid w:val="00E27067"/>
    <w:rsid w:val="00E46D3B"/>
    <w:rsid w:val="00E957ED"/>
    <w:rsid w:val="00EA4F00"/>
    <w:rsid w:val="00ED270D"/>
    <w:rsid w:val="00ED52C2"/>
    <w:rsid w:val="00EE609E"/>
    <w:rsid w:val="00F5539C"/>
    <w:rsid w:val="00F94CC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paragraph" w:customStyle="1" w:styleId="s1">
    <w:name w:val="s_1"/>
    <w:basedOn w:val="a"/>
    <w:rsid w:val="007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E20D99"/>
    <w:rPr>
      <w:rFonts w:cs="Times New Roman"/>
      <w:b/>
      <w:bCs/>
    </w:rPr>
  </w:style>
  <w:style w:type="character" w:styleId="ac">
    <w:name w:val="Emphasis"/>
    <w:uiPriority w:val="20"/>
    <w:qFormat/>
    <w:rsid w:val="00E20D99"/>
    <w:rPr>
      <w:i/>
      <w:iCs/>
    </w:rPr>
  </w:style>
  <w:style w:type="paragraph" w:customStyle="1" w:styleId="Textbody">
    <w:name w:val="Text body"/>
    <w:basedOn w:val="a"/>
    <w:rsid w:val="00E20D9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paragraph" w:customStyle="1" w:styleId="s1">
    <w:name w:val="s_1"/>
    <w:basedOn w:val="a"/>
    <w:rsid w:val="007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E20D99"/>
    <w:rPr>
      <w:rFonts w:cs="Times New Roman"/>
      <w:b/>
      <w:bCs/>
    </w:rPr>
  </w:style>
  <w:style w:type="character" w:styleId="ac">
    <w:name w:val="Emphasis"/>
    <w:uiPriority w:val="20"/>
    <w:qFormat/>
    <w:rsid w:val="00E20D99"/>
    <w:rPr>
      <w:i/>
      <w:iCs/>
    </w:rPr>
  </w:style>
  <w:style w:type="paragraph" w:customStyle="1" w:styleId="Textbody">
    <w:name w:val="Text body"/>
    <w:basedOn w:val="a"/>
    <w:rsid w:val="00E20D9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4_&#1044;&#1050;&#1061;%20&#1085;&#1086;&#1103;&#1073;&#1088;&#1100;/&#1040;&#1050;&#1058;/&#1040;&#1082;&#1090;%20&#1087;&#1088;&#1086;&#1074;&#1077;&#1088;&#1082;&#1080;_&#1052;&#1050;&#1059;%20&#1044;&#1050;&#1061;_&#1085;&#1086;&#1074;&#1099;&#1081;%20&#1075;&#1083;&#1072;&#1074;&#1077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ChiginaLG</cp:lastModifiedBy>
  <cp:revision>11</cp:revision>
  <cp:lastPrinted>2021-01-18T10:36:00Z</cp:lastPrinted>
  <dcterms:created xsi:type="dcterms:W3CDTF">2022-12-26T13:56:00Z</dcterms:created>
  <dcterms:modified xsi:type="dcterms:W3CDTF">2026-03-25T06:56:00Z</dcterms:modified>
</cp:coreProperties>
</file>